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5A1162"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PERİAPİKAL RÖNTGEN CİHAZI</w:t>
      </w:r>
      <w:r w:rsidR="00525FF7">
        <w:rPr>
          <w:rStyle w:val="richtext"/>
          <w:rFonts w:ascii="Times New Roman" w:hAnsi="Times New Roman" w:cs="Times New Roman"/>
          <w:color w:val="003399"/>
          <w:sz w:val="24"/>
          <w:szCs w:val="24"/>
        </w:rPr>
        <w:t xml:space="preserve"> VE RADYOVİZYOGRAFİ</w:t>
      </w:r>
      <w:r w:rsidR="00B31C19">
        <w:rPr>
          <w:rStyle w:val="richtext"/>
          <w:rFonts w:ascii="Times New Roman" w:hAnsi="Times New Roman" w:cs="Times New Roman"/>
          <w:color w:val="003399"/>
          <w:sz w:val="24"/>
          <w:szCs w:val="24"/>
        </w:rPr>
        <w:t xml:space="preserve"> (RVG)</w:t>
      </w:r>
      <w:bookmarkStart w:id="0" w:name="_GoBack"/>
      <w:bookmarkEnd w:id="0"/>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525FF7">
        <w:rPr>
          <w:rStyle w:val="richtext"/>
          <w:b/>
          <w:bCs/>
          <w:color w:val="003399"/>
        </w:rPr>
        <w:t>2019/0013</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C7282">
        <w:t>................................................</w:t>
      </w:r>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 </w:t>
      </w:r>
    </w:p>
    <w:p w:rsidR="002275E7" w:rsidRDefault="002275E7" w:rsidP="002275E7">
      <w:pPr>
        <w:jc w:val="both"/>
      </w:pPr>
      <w:r>
        <w:t xml:space="preserve">b) T.C. Kimlik No: .................................................................. </w:t>
      </w:r>
    </w:p>
    <w:p w:rsidR="002275E7" w:rsidRDefault="002275E7" w:rsidP="002275E7">
      <w:pPr>
        <w:jc w:val="both"/>
      </w:pPr>
      <w:r>
        <w:t xml:space="preserve">c) Vergi Kimlik No: ................................................................. </w:t>
      </w:r>
    </w:p>
    <w:p w:rsidR="002275E7" w:rsidRDefault="002275E7" w:rsidP="002275E7">
      <w:pPr>
        <w:jc w:val="both"/>
      </w:pPr>
      <w:r>
        <w:t xml:space="preserve">ç) Yüklenicinin tebligata esas adresi: .............................................. </w:t>
      </w:r>
    </w:p>
    <w:p w:rsidR="002275E7" w:rsidRDefault="002275E7" w:rsidP="002275E7">
      <w:pPr>
        <w:jc w:val="both"/>
      </w:pPr>
      <w:r>
        <w:t xml:space="preserve">d) Telefon numarası: ................................................................ </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proofErr w:type="spellStart"/>
      <w:r w:rsidR="009C1C89">
        <w:rPr>
          <w:rStyle w:val="richtext"/>
          <w:b/>
          <w:bCs/>
          <w:color w:val="003399"/>
        </w:rPr>
        <w:t>Periapikal</w:t>
      </w:r>
      <w:proofErr w:type="spellEnd"/>
      <w:r w:rsidR="009C1C89">
        <w:rPr>
          <w:rStyle w:val="richtext"/>
          <w:b/>
          <w:bCs/>
          <w:color w:val="003399"/>
        </w:rPr>
        <w:t xml:space="preserve"> Röntgen Cihazı ve </w:t>
      </w:r>
      <w:proofErr w:type="spellStart"/>
      <w:r w:rsidR="009C1C89">
        <w:rPr>
          <w:rStyle w:val="richtext"/>
          <w:b/>
          <w:bCs/>
          <w:color w:val="003399"/>
        </w:rPr>
        <w:t>Radyovizyografi</w:t>
      </w:r>
      <w:proofErr w:type="spellEnd"/>
      <w:r w:rsidR="009C1C89">
        <w:rPr>
          <w:rStyle w:val="richtext"/>
          <w:b/>
          <w:bCs/>
          <w:color w:val="003399"/>
        </w:rPr>
        <w:t xml:space="preserve"> (RVG)</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1</w:t>
            </w:r>
          </w:p>
        </w:tc>
        <w:tc>
          <w:tcPr>
            <w:tcW w:w="0" w:type="auto"/>
            <w:vAlign w:val="bottom"/>
          </w:tcPr>
          <w:p w:rsidR="00ED6BDF" w:rsidRPr="000B3A3F" w:rsidRDefault="00ED6BDF" w:rsidP="009C1C89">
            <w:pPr>
              <w:rPr>
                <w:rFonts w:ascii="Calibri" w:eastAsia="Times New Roman" w:hAnsi="Calibri" w:cs="Calibri"/>
              </w:rPr>
            </w:pPr>
            <w:r>
              <w:rPr>
                <w:rFonts w:ascii="Calibri" w:eastAsia="Times New Roman" w:hAnsi="Calibri" w:cs="Calibri"/>
              </w:rPr>
              <w:t xml:space="preserve"> </w:t>
            </w:r>
            <w:proofErr w:type="spellStart"/>
            <w:r w:rsidR="009C1C89">
              <w:rPr>
                <w:rFonts w:ascii="Calibri" w:eastAsia="Times New Roman" w:hAnsi="Calibri" w:cs="Calibri"/>
              </w:rPr>
              <w:t>Periapikal</w:t>
            </w:r>
            <w:proofErr w:type="spellEnd"/>
            <w:r w:rsidR="009C1C89">
              <w:rPr>
                <w:rFonts w:ascii="Calibri" w:eastAsia="Times New Roman" w:hAnsi="Calibri" w:cs="Calibri"/>
              </w:rPr>
              <w:t xml:space="preserve"> Röntgen Cihazı</w:t>
            </w:r>
            <w:r w:rsidRPr="000B3A3F">
              <w:rPr>
                <w:rFonts w:ascii="Calibri" w:eastAsia="Times New Roman" w:hAnsi="Calibri" w:cs="Calibri"/>
              </w:rPr>
              <w:t xml:space="preserve"> </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9C1C89" w:rsidP="00ED6BDF">
            <w:pPr>
              <w:jc w:val="center"/>
              <w:rPr>
                <w:rFonts w:ascii="Calibri" w:eastAsia="Times New Roman" w:hAnsi="Calibri" w:cs="Calibri"/>
                <w:b/>
              </w:rPr>
            </w:pPr>
            <w:r>
              <w:rPr>
                <w:rFonts w:ascii="Calibri" w:eastAsia="Times New Roman" w:hAnsi="Calibri" w:cs="Calibri"/>
                <w:b/>
              </w:rPr>
              <w:t>5</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2</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proofErr w:type="spellStart"/>
            <w:r w:rsidR="009C1C89">
              <w:rPr>
                <w:rFonts w:ascii="Calibri" w:eastAsia="Times New Roman" w:hAnsi="Calibri" w:cs="Calibri"/>
              </w:rPr>
              <w:t>Radyovizyografi</w:t>
            </w:r>
            <w:proofErr w:type="spellEnd"/>
            <w:r w:rsidR="009C1C89">
              <w:rPr>
                <w:rFonts w:ascii="Calibri" w:eastAsia="Times New Roman" w:hAnsi="Calibri" w:cs="Calibri"/>
              </w:rPr>
              <w:t xml:space="preserve"> (RVG)</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9C1C89" w:rsidP="00ED6BDF">
            <w:pPr>
              <w:jc w:val="center"/>
              <w:rPr>
                <w:rFonts w:ascii="Calibri" w:eastAsia="Times New Roman" w:hAnsi="Calibri" w:cs="Calibri"/>
                <w:b/>
              </w:rPr>
            </w:pPr>
            <w:r>
              <w:rPr>
                <w:rFonts w:ascii="Calibri" w:eastAsia="Times New Roman" w:hAnsi="Calibri" w:cs="Calibri"/>
                <w:b/>
              </w:rPr>
              <w:t>5</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lastRenderedPageBreak/>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eşme imzalandıktan sonra 60</w:t>
      </w:r>
      <w:r w:rsidR="00273795">
        <w:rPr>
          <w:rStyle w:val="richtext"/>
          <w:b/>
          <w:bCs/>
          <w:color w:val="003399"/>
        </w:rPr>
        <w:t xml:space="preserve"> </w:t>
      </w:r>
      <w:r w:rsidR="00ED6BDF">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w:t>
      </w:r>
      <w:r w:rsidR="00B75100">
        <w:t>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w:t>
      </w:r>
    </w:p>
    <w:p w:rsidR="00B75100" w:rsidRDefault="00B75100" w:rsidP="002275E7">
      <w:pPr>
        <w:jc w:val="both"/>
        <w:rPr>
          <w:b/>
          <w:bCs/>
        </w:rPr>
      </w:pPr>
    </w:p>
    <w:p w:rsidR="00B75100" w:rsidRDefault="00B75100" w:rsidP="002275E7">
      <w:pPr>
        <w:jc w:val="both"/>
        <w:rPr>
          <w:b/>
          <w:bCs/>
        </w:rPr>
      </w:pPr>
    </w:p>
    <w:p w:rsidR="002275E7" w:rsidRDefault="002275E7" w:rsidP="002275E7">
      <w:pPr>
        <w:jc w:val="both"/>
      </w:pPr>
      <w:r>
        <w:rPr>
          <w:b/>
          <w:bCs/>
        </w:rPr>
        <w:lastRenderedPageBreak/>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lastRenderedPageBreak/>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1511ED">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rPr>
          <w:b/>
          <w:bCs/>
        </w:rPr>
      </w:pPr>
      <w:r>
        <w:rPr>
          <w:b/>
          <w:bCs/>
        </w:rPr>
        <w:t>17.1</w:t>
      </w:r>
      <w:r w:rsidR="001511ED">
        <w:rPr>
          <w:b/>
          <w:bCs/>
        </w:rPr>
        <w:t xml:space="preserve"> Bu iş için Yüklenici veya Yüklenici tarafından bulunan yetkili kuruluş </w:t>
      </w:r>
      <w:proofErr w:type="gramStart"/>
      <w:r w:rsidR="001511ED">
        <w:rPr>
          <w:b/>
          <w:bCs/>
        </w:rPr>
        <w:t>yada</w:t>
      </w:r>
      <w:proofErr w:type="gramEnd"/>
      <w:r w:rsidR="001511ED">
        <w:rPr>
          <w:b/>
          <w:bCs/>
        </w:rPr>
        <w:t xml:space="preserve"> kuruluşlar, İdarenin personeline eğitim verecektir.</w:t>
      </w:r>
    </w:p>
    <w:p w:rsidR="001511ED" w:rsidRPr="001511ED" w:rsidRDefault="001511ED" w:rsidP="002275E7">
      <w:pPr>
        <w:jc w:val="both"/>
        <w:rPr>
          <w:rFonts w:eastAsia="Times New Roman"/>
          <w:b/>
          <w:bCs/>
          <w:color w:val="003399"/>
        </w:rPr>
      </w:pPr>
      <w:r w:rsidRPr="001511ED">
        <w:rPr>
          <w:rFonts w:eastAsia="Times New Roman"/>
          <w:b/>
          <w:bCs/>
          <w:color w:val="003399"/>
        </w:rPr>
        <w:t>Firma cihazlarla ilgili personele her türlü eğitimi ücretsiz vermekle yükümlüdür.</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lastRenderedPageBreak/>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lastRenderedPageBreak/>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F3620">
        <w:t>İdare, sözleşmenin imzalanmasından sonra işe başlama yazısı ile malın montajının yapılacağı yeri Yüklenicin kullanıma hazır hale getirir.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lastRenderedPageBreak/>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190C6F" w:rsidRPr="00F653B2" w:rsidRDefault="002275E7" w:rsidP="002275E7">
      <w:pPr>
        <w:overflowPunct/>
        <w:autoSpaceDE/>
        <w:rPr>
          <w:rFonts w:eastAsia="Times New Roman"/>
          <w:b/>
          <w:bCs/>
          <w:color w:val="003399"/>
        </w:rPr>
      </w:pPr>
      <w:r w:rsidRPr="00677E6D">
        <w:rPr>
          <w:rFonts w:eastAsia="Times New Roman"/>
          <w:b/>
          <w:bCs/>
          <w:color w:val="auto"/>
        </w:rPr>
        <w:t>30.1.1.</w:t>
      </w:r>
      <w:r w:rsidR="00190C6F" w:rsidRPr="00F653B2">
        <w:rPr>
          <w:rFonts w:eastAsia="Times New Roman"/>
          <w:b/>
          <w:bCs/>
          <w:color w:val="003399"/>
        </w:rPr>
        <w:t xml:space="preserve">Cihazlar orijinal ambalajında getirilecek olup orijinal </w:t>
      </w:r>
      <w:r w:rsidR="00F653B2" w:rsidRPr="00F653B2">
        <w:rPr>
          <w:rFonts w:eastAsia="Times New Roman"/>
          <w:b/>
          <w:bCs/>
          <w:color w:val="003399"/>
        </w:rPr>
        <w:t xml:space="preserve">ambalajları </w:t>
      </w:r>
      <w:proofErr w:type="spellStart"/>
      <w:r w:rsidR="00F653B2" w:rsidRPr="00F653B2">
        <w:rPr>
          <w:rFonts w:eastAsia="Times New Roman"/>
          <w:b/>
          <w:bCs/>
          <w:color w:val="003399"/>
        </w:rPr>
        <w:t>Mua</w:t>
      </w:r>
      <w:r w:rsidR="00190C6F" w:rsidRPr="00F653B2">
        <w:rPr>
          <w:rFonts w:eastAsia="Times New Roman"/>
          <w:b/>
          <w:bCs/>
          <w:color w:val="003399"/>
        </w:rPr>
        <w:t>yne</w:t>
      </w:r>
      <w:proofErr w:type="spellEnd"/>
      <w:r w:rsidR="00190C6F" w:rsidRPr="00F653B2">
        <w:rPr>
          <w:rFonts w:eastAsia="Times New Roman"/>
          <w:b/>
          <w:bCs/>
          <w:color w:val="003399"/>
        </w:rPr>
        <w:t xml:space="preserve"> Kabul Komisyonu huzurunda açılacaktır.</w:t>
      </w:r>
      <w:r>
        <w:rPr>
          <w:rFonts w:eastAsia="Times New Roman"/>
          <w:b/>
          <w:bCs/>
          <w:color w:val="003399"/>
        </w:rPr>
        <w:br/>
      </w:r>
      <w:r w:rsidRPr="00677E6D">
        <w:rPr>
          <w:rFonts w:eastAsia="Times New Roman"/>
          <w:b/>
          <w:bCs/>
          <w:color w:val="auto"/>
        </w:rPr>
        <w:t xml:space="preserve">30.1.1.1. </w:t>
      </w:r>
      <w:r w:rsidR="00190C6F" w:rsidRPr="00F653B2">
        <w:rPr>
          <w:rFonts w:eastAsia="Times New Roman"/>
          <w:b/>
          <w:bCs/>
          <w:color w:val="003399"/>
        </w:rPr>
        <w:t xml:space="preserve">Daha önce Demo amaçlı da olsa orijinal paketi açılmış cihaz kesinlikle kabul edilmeyecektir. </w:t>
      </w:r>
    </w:p>
    <w:p w:rsidR="00F653B2" w:rsidRDefault="002275E7" w:rsidP="002275E7">
      <w:pPr>
        <w:overflowPunct/>
        <w:autoSpaceDE/>
        <w:rPr>
          <w:rFonts w:eastAsia="Times New Roman"/>
          <w:b/>
          <w:bCs/>
          <w:color w:val="003399"/>
        </w:rPr>
      </w:pPr>
      <w:r w:rsidRPr="00677E6D">
        <w:rPr>
          <w:rFonts w:eastAsia="Times New Roman"/>
          <w:b/>
          <w:bCs/>
          <w:color w:val="auto"/>
        </w:rPr>
        <w:t xml:space="preserve">30.1.2. </w:t>
      </w:r>
      <w:r>
        <w:rPr>
          <w:rFonts w:eastAsia="Times New Roman"/>
          <w:b/>
          <w:bCs/>
          <w:color w:val="003399"/>
        </w:rPr>
        <w:t>Muayene işlemleri:</w:t>
      </w:r>
    </w:p>
    <w:p w:rsidR="002275E7" w:rsidRDefault="002275E7" w:rsidP="002275E7">
      <w:pPr>
        <w:overflowPunct/>
        <w:autoSpaceDE/>
        <w:rPr>
          <w:rFonts w:eastAsia="Times New Roman"/>
        </w:rPr>
      </w:pP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sidR="00190C6F">
        <w:rPr>
          <w:rFonts w:eastAsia="Times New Roman"/>
          <w:b/>
          <w:bCs/>
          <w:color w:val="003399"/>
        </w:rPr>
        <w:t xml:space="preserve">Kontrol </w:t>
      </w:r>
      <w:proofErr w:type="spellStart"/>
      <w:r w:rsidR="00190C6F">
        <w:rPr>
          <w:rFonts w:eastAsia="Times New Roman"/>
          <w:b/>
          <w:bCs/>
          <w:color w:val="003399"/>
        </w:rPr>
        <w:t>bve</w:t>
      </w:r>
      <w:proofErr w:type="spellEnd"/>
      <w:r w:rsidR="00190C6F">
        <w:rPr>
          <w:rFonts w:eastAsia="Times New Roman"/>
          <w:b/>
          <w:bCs/>
          <w:color w:val="003399"/>
        </w:rPr>
        <w:t xml:space="preserve"> muayenede, şartnamede istenilen ve teklifte belirtilen tüm özelliklerin uygunluğu kontrol edilecektir. Ayrıca yedek parça, aksesuarların kontrol ve sayımı yapılacaktır.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sidR="00190C6F">
        <w:rPr>
          <w:rFonts w:eastAsia="Times New Roman"/>
          <w:b/>
          <w:bCs/>
          <w:color w:val="003399"/>
        </w:rPr>
        <w:t xml:space="preserve">Kabul ve muayene sırasında yüklenici firmadan cihazın teknik özellikleri ve performansına ilişkin testlerin yapılması istenildiğinde gerekli personel ve düzeneği yüklenici firma ücretsiz olarak sağlayacaktır. </w:t>
      </w:r>
      <w:r w:rsidR="00F653B2">
        <w:rPr>
          <w:rFonts w:eastAsia="Times New Roman"/>
          <w:b/>
          <w:bCs/>
          <w:color w:val="003399"/>
        </w:rPr>
        <w:t>Kabul ve muayenede oluşabilecek kaza ve hasarlardan yüklenici firma sorumludur.</w:t>
      </w:r>
      <w:r>
        <w:rPr>
          <w:rFonts w:eastAsia="Times New Roman"/>
          <w:b/>
          <w:bCs/>
          <w:color w:val="003399"/>
        </w:rPr>
        <w:br/>
      </w:r>
      <w:r w:rsidRPr="00677E6D">
        <w:rPr>
          <w:rFonts w:eastAsia="Times New Roman"/>
          <w:b/>
          <w:bCs/>
          <w:color w:val="auto"/>
        </w:rPr>
        <w:t xml:space="preserve">30.1.2.5.1. </w:t>
      </w:r>
      <w:r>
        <w:rPr>
          <w:rFonts w:eastAsia="Times New Roman"/>
          <w:b/>
          <w:bCs/>
          <w:color w:val="003399"/>
        </w:rPr>
        <w:t xml:space="preserve">Fiziksel niteliklerin tamamının ihale dokümanında belirtilen hükümlere uygun </w:t>
      </w:r>
      <w:r>
        <w:rPr>
          <w:rFonts w:eastAsia="Times New Roman"/>
          <w:b/>
          <w:bCs/>
          <w:color w:val="003399"/>
        </w:rPr>
        <w:lastRenderedPageBreak/>
        <w:t>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 xml:space="preserve">.2. Fiziksel muayene süresi içerisinde, ihale dokümanında yazılı belgelerin hiç </w:t>
      </w:r>
      <w:r>
        <w:rPr>
          <w:rFonts w:eastAsia="Times New Roman"/>
          <w:b/>
          <w:bCs/>
          <w:color w:val="003399"/>
        </w:rPr>
        <w:lastRenderedPageBreak/>
        <w:t>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Pr>
          <w:rFonts w:eastAsia="Times New Roman"/>
          <w:b/>
          <w:bCs/>
          <w:color w:val="003399"/>
        </w:rPr>
        <w:lastRenderedPageBreak/>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r w:rsidR="00F71D59">
        <w:t>dâhilinde</w:t>
      </w:r>
      <w:r>
        <w:t xml:space="preserve"> varsa ilave görüşlerine de sözleşme ve teknik şartname çerçevesinde komisyonun görev ve yetkileri </w:t>
      </w:r>
      <w:r w:rsidR="00F71D59">
        <w:t>dâhilinde</w:t>
      </w:r>
      <w:r>
        <w:t xml:space="preserv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lastRenderedPageBreak/>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lastRenderedPageBreak/>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F71D59" w:rsidRDefault="00F71D59" w:rsidP="002275E7">
      <w:pPr>
        <w:spacing w:before="120"/>
        <w:jc w:val="both"/>
        <w:rPr>
          <w:b/>
          <w:bCs/>
          <w:color w:val="auto"/>
        </w:rPr>
      </w:pPr>
    </w:p>
    <w:p w:rsidR="00F71D59" w:rsidRDefault="00F71D59" w:rsidP="002275E7">
      <w:pPr>
        <w:spacing w:before="120"/>
        <w:jc w:val="both"/>
        <w:rPr>
          <w:b/>
          <w:bCs/>
          <w:color w:val="auto"/>
        </w:rPr>
      </w:pPr>
    </w:p>
    <w:p w:rsidR="002275E7" w:rsidRDefault="00EC645D" w:rsidP="002275E7">
      <w:pPr>
        <w:spacing w:before="120"/>
        <w:jc w:val="both"/>
      </w:pPr>
      <w:r>
        <w:rPr>
          <w:b/>
          <w:bCs/>
          <w:color w:val="auto"/>
        </w:rPr>
        <w:lastRenderedPageBreak/>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r w:rsidR="00F71D59">
        <w:t>imkânsız</w:t>
      </w:r>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F71D59">
        <w:t>Yönetmeliği ilgili</w:t>
      </w:r>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İDARE </w:t>
      </w:r>
      <w:r w:rsidRPr="003C7282">
        <w:rPr>
          <w:b/>
        </w:rPr>
        <w:t xml:space="preserve">                                                                </w:t>
      </w:r>
      <w:r w:rsidR="002275E7" w:rsidRPr="003C7282">
        <w:rPr>
          <w:b/>
        </w:rPr>
        <w:t xml:space="preserve">YÜKLENİCİ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0C6F"/>
    <w:rsid w:val="00196272"/>
    <w:rsid w:val="001B0C41"/>
    <w:rsid w:val="002062FA"/>
    <w:rsid w:val="002275E7"/>
    <w:rsid w:val="00246C68"/>
    <w:rsid w:val="00273795"/>
    <w:rsid w:val="003C570A"/>
    <w:rsid w:val="003C7282"/>
    <w:rsid w:val="003C7E86"/>
    <w:rsid w:val="004230F6"/>
    <w:rsid w:val="004F02CC"/>
    <w:rsid w:val="00510751"/>
    <w:rsid w:val="00525FF7"/>
    <w:rsid w:val="005A1162"/>
    <w:rsid w:val="00677E6D"/>
    <w:rsid w:val="0071768B"/>
    <w:rsid w:val="007E5C7C"/>
    <w:rsid w:val="00857567"/>
    <w:rsid w:val="008E48D3"/>
    <w:rsid w:val="009317B5"/>
    <w:rsid w:val="009612CF"/>
    <w:rsid w:val="009C1C89"/>
    <w:rsid w:val="00A738BF"/>
    <w:rsid w:val="00AF3620"/>
    <w:rsid w:val="00B31C19"/>
    <w:rsid w:val="00B61BAF"/>
    <w:rsid w:val="00B75100"/>
    <w:rsid w:val="00BC5E44"/>
    <w:rsid w:val="00BF328D"/>
    <w:rsid w:val="00CF7F11"/>
    <w:rsid w:val="00D24B41"/>
    <w:rsid w:val="00D754C4"/>
    <w:rsid w:val="00E61ABF"/>
    <w:rsid w:val="00EC645D"/>
    <w:rsid w:val="00EC789F"/>
    <w:rsid w:val="00ED6BDF"/>
    <w:rsid w:val="00F436AC"/>
    <w:rsid w:val="00F653B2"/>
    <w:rsid w:val="00F71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F3CE"/>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7084</Words>
  <Characters>40381</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5</cp:revision>
  <dcterms:created xsi:type="dcterms:W3CDTF">2019-05-29T08:13:00Z</dcterms:created>
  <dcterms:modified xsi:type="dcterms:W3CDTF">2019-05-29T09:06:00Z</dcterms:modified>
</cp:coreProperties>
</file>